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jc w:val="center"/>
        <w:rPr>
          <w:sz w:val="32"/>
          <w:szCs w:val="32"/>
        </w:rPr>
      </w:pPr>
      <w:r>
        <w:rPr>
          <w:rFonts w:hint="eastAsia" w:ascii="仿宋" w:hAnsi="仿宋" w:eastAsia="仿宋" w:cs="宋体"/>
          <w:color w:val="333333"/>
          <w:sz w:val="32"/>
          <w:szCs w:val="32"/>
        </w:rPr>
        <w:t>晋交企协字〔2017〕1</w:t>
      </w:r>
      <w:r>
        <w:rPr>
          <w:rFonts w:hint="eastAsia" w:ascii="仿宋" w:hAnsi="仿宋" w:eastAsia="仿宋" w:cs="宋体"/>
          <w:color w:val="333333"/>
          <w:sz w:val="32"/>
          <w:szCs w:val="32"/>
          <w:lang w:val="en-US" w:eastAsia="zh-CN"/>
        </w:rPr>
        <w:t>5</w:t>
      </w:r>
      <w:r>
        <w:rPr>
          <w:rFonts w:hint="eastAsia" w:ascii="仿宋" w:hAnsi="仿宋" w:eastAsia="仿宋" w:cs="宋体"/>
          <w:color w:val="333333"/>
          <w:sz w:val="32"/>
          <w:szCs w:val="32"/>
        </w:rPr>
        <w:t>号</w:t>
      </w: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spacing w:before="156" w:beforeLines="50" w:after="156" w:afterLines="50"/>
        <w:jc w:val="center"/>
        <w:rPr>
          <w:rFonts w:hint="eastAsia" w:ascii="宋体" w:hAnsi="宋体" w:cs="宋体"/>
          <w:b w:val="0"/>
          <w:bCs w:val="0"/>
          <w:color w:val="000000"/>
          <w:kern w:val="0"/>
          <w:sz w:val="44"/>
          <w:szCs w:val="44"/>
        </w:rPr>
      </w:pPr>
      <w:r>
        <w:rPr>
          <w:rFonts w:hint="eastAsia" w:ascii="宋体" w:hAnsi="宋体" w:cs="华文中宋"/>
          <w:b w:val="0"/>
          <w:bCs w:val="0"/>
          <w:color w:val="000000"/>
          <w:sz w:val="44"/>
          <w:szCs w:val="44"/>
        </w:rPr>
        <w:t>关于组织举办</w:t>
      </w:r>
      <w:r>
        <w:rPr>
          <w:rFonts w:hint="eastAsia" w:ascii="宋体" w:hAnsi="宋体" w:cs="宋体"/>
          <w:b w:val="0"/>
          <w:bCs w:val="0"/>
          <w:color w:val="000000"/>
          <w:kern w:val="0"/>
          <w:sz w:val="44"/>
          <w:szCs w:val="44"/>
        </w:rPr>
        <w:t>公路水运工程试验检测专业</w:t>
      </w:r>
    </w:p>
    <w:p>
      <w:pPr>
        <w:jc w:val="center"/>
        <w:rPr>
          <w:rFonts w:hint="eastAsia" w:ascii="宋体" w:hAnsi="宋体" w:cs="华文中宋"/>
          <w:b w:val="0"/>
          <w:bCs w:val="0"/>
          <w:color w:val="000000"/>
          <w:sz w:val="44"/>
          <w:szCs w:val="44"/>
          <w:lang w:val="en-US" w:eastAsia="zh-CN"/>
        </w:rPr>
      </w:pPr>
      <w:r>
        <w:rPr>
          <w:rFonts w:hint="eastAsia" w:ascii="宋体" w:hAnsi="宋体" w:cs="宋体"/>
          <w:b w:val="0"/>
          <w:bCs w:val="0"/>
          <w:color w:val="000000"/>
          <w:kern w:val="0"/>
          <w:sz w:val="44"/>
          <w:szCs w:val="44"/>
        </w:rPr>
        <w:t>技术人员职业资格考试考前培训</w:t>
      </w:r>
      <w:r>
        <w:rPr>
          <w:rFonts w:hint="eastAsia" w:ascii="宋体" w:hAnsi="宋体" w:cs="华文中宋"/>
          <w:b w:val="0"/>
          <w:bCs w:val="0"/>
          <w:color w:val="000000"/>
          <w:sz w:val="44"/>
          <w:szCs w:val="44"/>
        </w:rPr>
        <w:t>的</w:t>
      </w:r>
      <w:r>
        <w:rPr>
          <w:rFonts w:hint="eastAsia" w:ascii="宋体" w:hAnsi="宋体" w:cs="华文中宋"/>
          <w:b w:val="0"/>
          <w:bCs w:val="0"/>
          <w:color w:val="000000"/>
          <w:sz w:val="44"/>
          <w:szCs w:val="44"/>
          <w:lang w:val="en-US" w:eastAsia="zh-CN"/>
        </w:rPr>
        <w:t>通知</w:t>
      </w:r>
    </w:p>
    <w:p>
      <w:pPr>
        <w:rPr>
          <w:rFonts w:hint="eastAsia" w:ascii="宋体" w:hAnsi="宋体" w:cs="华文中宋"/>
          <w:b/>
          <w:bCs/>
          <w:color w:val="000000"/>
          <w:sz w:val="44"/>
          <w:szCs w:val="44"/>
          <w:lang w:val="en-US" w:eastAsia="zh-CN"/>
        </w:rPr>
      </w:pPr>
    </w:p>
    <w:p>
      <w:pPr>
        <w:rPr>
          <w:rFonts w:hint="eastAsia" w:ascii="仿宋" w:hAnsi="仿宋" w:eastAsia="仿宋" w:cs="仿宋"/>
          <w:sz w:val="32"/>
          <w:szCs w:val="32"/>
        </w:rPr>
      </w:pPr>
      <w:r>
        <w:rPr>
          <w:rFonts w:hint="eastAsia" w:ascii="仿宋" w:hAnsi="仿宋" w:eastAsia="仿宋" w:cs="仿宋"/>
          <w:sz w:val="32"/>
          <w:szCs w:val="32"/>
        </w:rPr>
        <w:t>各会员及有关单位：</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根据</w:t>
      </w:r>
      <w:r>
        <w:rPr>
          <w:rFonts w:hint="eastAsia" w:ascii="仿宋" w:hAnsi="仿宋" w:eastAsia="仿宋" w:cs="仿宋"/>
          <w:color w:val="000000"/>
          <w:kern w:val="0"/>
          <w:sz w:val="32"/>
          <w:szCs w:val="32"/>
        </w:rPr>
        <w:t>人力资源和社会保障部、交通运输部联合印发的《公路水运工程试验检测专业技术人员职业资格制度规定》和《公路水运工程试验检测专业技术人员职业资格考试实施办法》（人社部发〔2015〕59号）以及《人力资源社会保障部办公厅、交通运输部办公厅关于举行2017年度公路水运工程试验检测专业技术人员职业资格考试的通知》精神，人社部、交通运输部定于2017年11月18日、19日举行公路水运工程试验检测专业技术人员职业资格考试。为加强公路水运工程试验检测专业技术人员队伍建设，提高试验检测专业技术人员素质，使广大应考人员能系统、全面、有效地掌握考试内容，应广大参考人员要求，</w:t>
      </w:r>
      <w:r>
        <w:rPr>
          <w:rFonts w:hint="eastAsia" w:ascii="仿宋" w:hAnsi="仿宋" w:eastAsia="仿宋" w:cs="仿宋"/>
          <w:color w:val="000000"/>
          <w:kern w:val="0"/>
          <w:sz w:val="32"/>
          <w:szCs w:val="32"/>
          <w:lang w:val="en-US" w:eastAsia="zh-CN"/>
        </w:rPr>
        <w:t>我会与长沙理工大学联手在太原</w:t>
      </w:r>
      <w:r>
        <w:rPr>
          <w:rFonts w:hint="eastAsia" w:ascii="仿宋" w:hAnsi="仿宋" w:eastAsia="仿宋" w:cs="仿宋"/>
          <w:color w:val="000000"/>
          <w:kern w:val="0"/>
          <w:sz w:val="32"/>
          <w:szCs w:val="32"/>
        </w:rPr>
        <w:t>举办全国公路水运工程试验检测专业技术人员职业资格考试的考前辅导培训。长沙理工大学的有关教授、专家多年参与考试大纲、教材教案等相关资料编写，具有丰富的培训教学经验，历年来看培训效果良好。针对今年的考试，长沙理工大学组织了相关资深的教授、专家对全国公路水运工程试验检测专业技术人员职业资格考试的考纲进行了深入研讨，认真研究了近几年的命题规律，制定了一套行之有效的考前辅导方案，针对性、实用性较强，以达到行业内最佳的培训效果和考试合格率。现就考前培训事宜</w:t>
      </w:r>
      <w:r>
        <w:rPr>
          <w:rFonts w:hint="eastAsia" w:ascii="仿宋" w:hAnsi="仿宋" w:eastAsia="仿宋" w:cs="仿宋"/>
          <w:color w:val="000000"/>
          <w:kern w:val="0"/>
          <w:sz w:val="32"/>
          <w:szCs w:val="32"/>
          <w:lang w:val="en-US" w:eastAsia="zh-CN"/>
        </w:rPr>
        <w:t>通</w:t>
      </w:r>
      <w:r>
        <w:rPr>
          <w:rFonts w:hint="eastAsia" w:ascii="仿宋" w:hAnsi="仿宋" w:eastAsia="仿宋" w:cs="仿宋"/>
          <w:color w:val="000000"/>
          <w:kern w:val="0"/>
          <w:sz w:val="32"/>
          <w:szCs w:val="32"/>
        </w:rPr>
        <w:t>知如下：</w:t>
      </w:r>
    </w:p>
    <w:p>
      <w:pPr>
        <w:widowControl/>
        <w:spacing w:line="360" w:lineRule="auto"/>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一、培训对象</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凡</w:t>
      </w:r>
      <w:r>
        <w:rPr>
          <w:rFonts w:hint="eastAsia" w:ascii="仿宋" w:hAnsi="仿宋" w:eastAsia="仿宋" w:cs="仿宋"/>
          <w:color w:val="000000"/>
          <w:kern w:val="0"/>
          <w:sz w:val="32"/>
          <w:szCs w:val="32"/>
          <w:lang w:val="en-US" w:eastAsia="zh-CN"/>
        </w:rPr>
        <w:t>符合</w:t>
      </w:r>
      <w:r>
        <w:rPr>
          <w:rFonts w:hint="eastAsia" w:ascii="仿宋" w:hAnsi="仿宋" w:eastAsia="仿宋" w:cs="仿宋"/>
          <w:color w:val="000000"/>
          <w:kern w:val="0"/>
          <w:sz w:val="32"/>
          <w:szCs w:val="32"/>
        </w:rPr>
        <w:t>全国公路水运工程试验检测专业技术人员职业资格考试报考条件的应考人员，均可报名参加考前培训。</w:t>
      </w:r>
    </w:p>
    <w:p>
      <w:pPr>
        <w:widowControl/>
        <w:spacing w:line="360" w:lineRule="auto"/>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二、培训费用</w:t>
      </w:r>
    </w:p>
    <w:p>
      <w:pPr>
        <w:widowControl/>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考前培训费（公共基础+专业课）1200元/人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单独报考公共基础600元/门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单独报考专业课800元/门</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食宿统一安排，费用自理，统一开具发票。</w:t>
      </w:r>
    </w:p>
    <w:p>
      <w:pPr>
        <w:widowControl/>
        <w:spacing w:line="360" w:lineRule="auto"/>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三、培训内容</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由交通运输部职业资格中心组织编写出版的公路水运工程助理试验检测师、试验检测师职业资格考试大纲和指导书（2016版）为基础，以近几年考试内容和命题规律为重点，对考试科目在考纲的指导下进行深度讲解。</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1、《公共基础课》      1天，8学时。</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2、《道路工程》        2天，16学时。</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3、《桥梁隧道工程》    2天，16学时。</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4、《交通工程》        2天，16学时。</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5、《水运结构与地基》  2天，16学时。</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6、《水运材料》        2天，16学时。</w:t>
      </w:r>
    </w:p>
    <w:p>
      <w:pPr>
        <w:widowControl/>
        <w:spacing w:line="360" w:lineRule="auto"/>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四、培训时间及方式</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培训时间为全脱产3天，培训方式以面授为主。</w:t>
      </w:r>
    </w:p>
    <w:p>
      <w:pPr>
        <w:spacing w:line="360" w:lineRule="auto"/>
        <w:ind w:firstLine="630" w:firstLineChars="196"/>
        <w:rPr>
          <w:rFonts w:hint="eastAsia" w:ascii="仿宋" w:hAnsi="仿宋" w:eastAsia="仿宋" w:cs="仿宋"/>
          <w:b/>
          <w:color w:val="000000"/>
          <w:sz w:val="32"/>
          <w:szCs w:val="32"/>
        </w:rPr>
      </w:pPr>
      <w:r>
        <w:rPr>
          <w:rFonts w:hint="eastAsia" w:ascii="仿宋" w:hAnsi="仿宋" w:eastAsia="仿宋" w:cs="仿宋"/>
          <w:b/>
          <w:color w:val="000000"/>
          <w:kern w:val="0"/>
          <w:sz w:val="32"/>
          <w:szCs w:val="32"/>
        </w:rPr>
        <w:t>五、报名及联系方式：</w:t>
      </w:r>
    </w:p>
    <w:p>
      <w:pPr>
        <w:spacing w:line="360" w:lineRule="auto"/>
        <w:ind w:firstLine="627" w:firstLineChars="196"/>
        <w:rPr>
          <w:rFonts w:hint="eastAsia" w:ascii="仿宋" w:hAnsi="仿宋" w:eastAsia="仿宋" w:cs="仿宋"/>
          <w:b/>
          <w:sz w:val="32"/>
          <w:szCs w:val="32"/>
        </w:rPr>
      </w:pPr>
      <w:r>
        <w:rPr>
          <w:rFonts w:hint="eastAsia" w:ascii="仿宋" w:hAnsi="仿宋" w:eastAsia="仿宋" w:cs="仿宋"/>
          <w:sz w:val="32"/>
          <w:szCs w:val="32"/>
        </w:rPr>
        <w:t>凡有意向参加考前培训的人员，请于9月2</w:t>
      </w:r>
      <w:r>
        <w:rPr>
          <w:rFonts w:hint="eastAsia" w:ascii="仿宋" w:hAnsi="仿宋" w:eastAsia="仿宋" w:cs="仿宋"/>
          <w:sz w:val="32"/>
          <w:szCs w:val="32"/>
          <w:lang w:val="en-US" w:eastAsia="zh-CN"/>
        </w:rPr>
        <w:t>8</w:t>
      </w:r>
      <w:r>
        <w:rPr>
          <w:rFonts w:hint="eastAsia" w:ascii="仿宋" w:hAnsi="仿宋" w:eastAsia="仿宋" w:cs="仿宋"/>
          <w:sz w:val="32"/>
          <w:szCs w:val="32"/>
        </w:rPr>
        <w:t>日前</w:t>
      </w:r>
      <w:r>
        <w:rPr>
          <w:rFonts w:hint="eastAsia" w:ascii="仿宋" w:hAnsi="仿宋" w:eastAsia="仿宋" w:cs="仿宋"/>
          <w:b/>
          <w:sz w:val="32"/>
          <w:szCs w:val="32"/>
        </w:rPr>
        <w:t>以单位名义</w:t>
      </w:r>
      <w:r>
        <w:rPr>
          <w:rFonts w:hint="eastAsia" w:ascii="仿宋" w:hAnsi="仿宋" w:eastAsia="仿宋" w:cs="仿宋"/>
          <w:sz w:val="32"/>
          <w:szCs w:val="32"/>
        </w:rPr>
        <w:t>统一填写报名表格向我</w:t>
      </w:r>
      <w:r>
        <w:rPr>
          <w:rFonts w:hint="eastAsia" w:ascii="仿宋" w:hAnsi="仿宋" w:eastAsia="仿宋" w:cs="仿宋"/>
          <w:sz w:val="32"/>
          <w:szCs w:val="32"/>
          <w:lang w:val="en-US" w:eastAsia="zh-CN"/>
        </w:rPr>
        <w:t>会</w:t>
      </w:r>
      <w:r>
        <w:rPr>
          <w:rFonts w:hint="eastAsia" w:ascii="仿宋" w:hAnsi="仿宋" w:eastAsia="仿宋" w:cs="仿宋"/>
          <w:sz w:val="32"/>
          <w:szCs w:val="32"/>
        </w:rPr>
        <w:t>报名登记，</w:t>
      </w:r>
      <w:r>
        <w:rPr>
          <w:rFonts w:hint="eastAsia" w:ascii="仿宋" w:hAnsi="仿宋" w:eastAsia="仿宋" w:cs="仿宋"/>
          <w:kern w:val="0"/>
          <w:sz w:val="32"/>
          <w:szCs w:val="32"/>
        </w:rPr>
        <w:t>会务组收到报名回执后，将在开班前一周内发出《报到通知书》，告知具体</w:t>
      </w:r>
      <w:r>
        <w:rPr>
          <w:rFonts w:hint="eastAsia" w:ascii="仿宋" w:hAnsi="仿宋" w:eastAsia="仿宋" w:cs="仿宋"/>
          <w:kern w:val="0"/>
          <w:sz w:val="32"/>
          <w:szCs w:val="32"/>
          <w:lang w:val="en-US" w:eastAsia="zh-CN"/>
        </w:rPr>
        <w:t>培训时间、地点及</w:t>
      </w:r>
      <w:r>
        <w:rPr>
          <w:rFonts w:hint="eastAsia" w:ascii="仿宋" w:hAnsi="仿宋" w:eastAsia="仿宋" w:cs="仿宋"/>
          <w:kern w:val="0"/>
          <w:sz w:val="32"/>
          <w:szCs w:val="32"/>
        </w:rPr>
        <w:t>课程安排、授课专家等相关事宜，需要组织内训的单位请来电咨询，</w:t>
      </w:r>
      <w:r>
        <w:rPr>
          <w:rFonts w:hint="eastAsia" w:ascii="仿宋" w:hAnsi="仿宋" w:eastAsia="仿宋" w:cs="仿宋"/>
          <w:sz w:val="32"/>
          <w:szCs w:val="32"/>
        </w:rPr>
        <w:t>以便统筹安排培训相关事宜。</w:t>
      </w:r>
    </w:p>
    <w:p>
      <w:pPr>
        <w:widowControl/>
        <w:jc w:val="left"/>
        <w:rPr>
          <w:rFonts w:hint="eastAsia" w:ascii="仿宋" w:hAnsi="仿宋" w:eastAsia="仿宋" w:cs="仿宋"/>
          <w:bCs/>
          <w:kern w:val="0"/>
          <w:sz w:val="32"/>
          <w:szCs w:val="32"/>
          <w:lang w:val="en-US" w:eastAsia="zh-CN"/>
        </w:rPr>
      </w:pPr>
    </w:p>
    <w:p>
      <w:pPr>
        <w:widowControl/>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附件：公路水运工程试验检测专业技术人员职业资格考前培训报名表</w:t>
      </w:r>
    </w:p>
    <w:p>
      <w:pPr>
        <w:widowControl/>
        <w:jc w:val="left"/>
        <w:rPr>
          <w:rFonts w:hint="eastAsia" w:ascii="仿宋_GB2312" w:hAnsi="仿宋_GB2312" w:eastAsia="仿宋_GB2312" w:cs="仿宋_GB2312"/>
          <w:bCs/>
          <w:kern w:val="0"/>
          <w:sz w:val="32"/>
          <w:szCs w:val="32"/>
          <w:lang w:val="en-US" w:eastAsia="zh-CN"/>
        </w:rPr>
      </w:pPr>
    </w:p>
    <w:p>
      <w:pPr>
        <w:widowControl/>
        <w:ind w:firstLine="4480" w:firstLineChars="14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山西省交通企业协会</w:t>
      </w:r>
    </w:p>
    <w:p>
      <w:pPr>
        <w:widowControl/>
        <w:ind w:firstLine="4800" w:firstLineChars="15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2017年9月13日</w:t>
      </w:r>
    </w:p>
    <w:p>
      <w:pPr>
        <w:widowControl/>
        <w:jc w:val="left"/>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附</w:t>
      </w:r>
      <w:r>
        <w:rPr>
          <w:rFonts w:hint="eastAsia" w:ascii="黑体" w:hAnsi="黑体" w:eastAsia="黑体" w:cs="黑体"/>
          <w:bCs/>
          <w:kern w:val="0"/>
          <w:sz w:val="32"/>
          <w:szCs w:val="32"/>
          <w:lang w:val="en-US" w:eastAsia="zh-CN"/>
        </w:rPr>
        <w:t>件</w:t>
      </w:r>
      <w:r>
        <w:rPr>
          <w:rFonts w:hint="eastAsia" w:ascii="黑体" w:hAnsi="黑体" w:eastAsia="黑体" w:cs="黑体"/>
          <w:bCs/>
          <w:kern w:val="0"/>
          <w:sz w:val="32"/>
          <w:szCs w:val="32"/>
        </w:rPr>
        <w:t>：</w:t>
      </w:r>
    </w:p>
    <w:p>
      <w:pPr>
        <w:widowControl/>
        <w:ind w:firstLine="640" w:firstLineChars="200"/>
        <w:jc w:val="center"/>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公路水运工程试验检测专业技术人员职业资格</w:t>
      </w:r>
    </w:p>
    <w:p>
      <w:pPr>
        <w:widowControl/>
        <w:ind w:firstLine="640" w:firstLineChars="200"/>
        <w:jc w:val="center"/>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考前培训报名表</w:t>
      </w:r>
    </w:p>
    <w:tbl>
      <w:tblPr>
        <w:tblStyle w:val="7"/>
        <w:tblW w:w="9172"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004"/>
        <w:gridCol w:w="990"/>
        <w:gridCol w:w="1110"/>
        <w:gridCol w:w="1155"/>
        <w:gridCol w:w="138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2138"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7034" w:type="dxa"/>
            <w:gridSpan w:val="6"/>
            <w:vAlign w:val="center"/>
          </w:tcPr>
          <w:p>
            <w:pPr>
              <w:widowControl/>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2138"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培训</w:t>
            </w:r>
            <w:r>
              <w:rPr>
                <w:rFonts w:hint="eastAsia" w:ascii="仿宋" w:hAnsi="仿宋" w:eastAsia="仿宋" w:cs="仿宋"/>
                <w:color w:val="000000"/>
                <w:kern w:val="0"/>
                <w:sz w:val="28"/>
                <w:szCs w:val="28"/>
              </w:rPr>
              <w:t>科目</w:t>
            </w:r>
          </w:p>
        </w:tc>
        <w:tc>
          <w:tcPr>
            <w:tcW w:w="1004"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公共</w:t>
            </w:r>
          </w:p>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基础</w:t>
            </w:r>
          </w:p>
        </w:tc>
        <w:tc>
          <w:tcPr>
            <w:tcW w:w="990"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道路</w:t>
            </w:r>
          </w:p>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工程</w:t>
            </w:r>
          </w:p>
        </w:tc>
        <w:tc>
          <w:tcPr>
            <w:tcW w:w="1110"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桥梁隧道工程</w:t>
            </w:r>
          </w:p>
        </w:tc>
        <w:tc>
          <w:tcPr>
            <w:tcW w:w="1155"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交通</w:t>
            </w:r>
          </w:p>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工程</w:t>
            </w:r>
          </w:p>
        </w:tc>
        <w:tc>
          <w:tcPr>
            <w:tcW w:w="1380"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水运结构与地基</w:t>
            </w:r>
          </w:p>
        </w:tc>
        <w:tc>
          <w:tcPr>
            <w:tcW w:w="1395"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水运</w:t>
            </w:r>
            <w:r>
              <w:rPr>
                <w:rFonts w:hint="eastAsia" w:ascii="仿宋" w:hAnsi="仿宋" w:eastAsia="仿宋" w:cs="仿宋"/>
                <w:color w:val="000000"/>
                <w:kern w:val="0"/>
                <w:sz w:val="28"/>
                <w:szCs w:val="28"/>
                <w:lang w:val="en-US" w:eastAsia="zh-CN"/>
              </w:rPr>
              <w:t xml:space="preserve"> </w:t>
            </w:r>
          </w:p>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2138"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参培</w:t>
            </w:r>
            <w:r>
              <w:rPr>
                <w:rFonts w:hint="eastAsia" w:ascii="仿宋" w:hAnsi="仿宋" w:eastAsia="仿宋" w:cs="仿宋"/>
                <w:color w:val="000000"/>
                <w:kern w:val="0"/>
                <w:sz w:val="28"/>
                <w:szCs w:val="28"/>
              </w:rPr>
              <w:t>人数</w:t>
            </w:r>
          </w:p>
        </w:tc>
        <w:tc>
          <w:tcPr>
            <w:tcW w:w="1004" w:type="dxa"/>
            <w:vAlign w:val="center"/>
          </w:tcPr>
          <w:p>
            <w:pPr>
              <w:widowControl/>
              <w:jc w:val="center"/>
              <w:rPr>
                <w:rFonts w:hint="eastAsia" w:ascii="仿宋" w:hAnsi="仿宋" w:eastAsia="仿宋" w:cs="仿宋"/>
                <w:color w:val="000000"/>
                <w:kern w:val="0"/>
                <w:sz w:val="28"/>
                <w:szCs w:val="28"/>
              </w:rPr>
            </w:pPr>
          </w:p>
        </w:tc>
        <w:tc>
          <w:tcPr>
            <w:tcW w:w="990" w:type="dxa"/>
            <w:vAlign w:val="center"/>
          </w:tcPr>
          <w:p>
            <w:pPr>
              <w:widowControl/>
              <w:jc w:val="center"/>
              <w:rPr>
                <w:rFonts w:hint="eastAsia" w:ascii="仿宋" w:hAnsi="仿宋" w:eastAsia="仿宋" w:cs="仿宋"/>
                <w:color w:val="000000"/>
                <w:kern w:val="0"/>
                <w:sz w:val="28"/>
                <w:szCs w:val="28"/>
              </w:rPr>
            </w:pPr>
          </w:p>
        </w:tc>
        <w:tc>
          <w:tcPr>
            <w:tcW w:w="1110" w:type="dxa"/>
            <w:vAlign w:val="center"/>
          </w:tcPr>
          <w:p>
            <w:pPr>
              <w:widowControl/>
              <w:jc w:val="center"/>
              <w:rPr>
                <w:rFonts w:hint="eastAsia" w:ascii="仿宋" w:hAnsi="仿宋" w:eastAsia="仿宋" w:cs="仿宋"/>
                <w:color w:val="000000"/>
                <w:kern w:val="0"/>
                <w:sz w:val="28"/>
                <w:szCs w:val="28"/>
              </w:rPr>
            </w:pPr>
          </w:p>
        </w:tc>
        <w:tc>
          <w:tcPr>
            <w:tcW w:w="1155" w:type="dxa"/>
            <w:vAlign w:val="center"/>
          </w:tcPr>
          <w:p>
            <w:pPr>
              <w:widowControl/>
              <w:jc w:val="center"/>
              <w:rPr>
                <w:rFonts w:hint="eastAsia" w:ascii="仿宋" w:hAnsi="仿宋" w:eastAsia="仿宋" w:cs="仿宋"/>
                <w:color w:val="000000"/>
                <w:kern w:val="0"/>
                <w:sz w:val="28"/>
                <w:szCs w:val="28"/>
              </w:rPr>
            </w:pPr>
          </w:p>
        </w:tc>
        <w:tc>
          <w:tcPr>
            <w:tcW w:w="1380" w:type="dxa"/>
            <w:vAlign w:val="center"/>
          </w:tcPr>
          <w:p>
            <w:pPr>
              <w:widowControl/>
              <w:jc w:val="center"/>
              <w:rPr>
                <w:rFonts w:hint="eastAsia" w:ascii="仿宋" w:hAnsi="仿宋" w:eastAsia="仿宋" w:cs="仿宋"/>
                <w:color w:val="000000"/>
                <w:kern w:val="0"/>
                <w:sz w:val="28"/>
                <w:szCs w:val="28"/>
              </w:rPr>
            </w:pPr>
          </w:p>
        </w:tc>
        <w:tc>
          <w:tcPr>
            <w:tcW w:w="1395" w:type="dxa"/>
            <w:vAlign w:val="center"/>
          </w:tcPr>
          <w:p>
            <w:pPr>
              <w:widowControl/>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2138"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w:t>
            </w:r>
          </w:p>
        </w:tc>
        <w:tc>
          <w:tcPr>
            <w:tcW w:w="3104" w:type="dxa"/>
            <w:gridSpan w:val="3"/>
            <w:vAlign w:val="center"/>
          </w:tcPr>
          <w:p>
            <w:pPr>
              <w:widowControl/>
              <w:jc w:val="center"/>
              <w:rPr>
                <w:rFonts w:hint="eastAsia" w:ascii="仿宋" w:hAnsi="仿宋" w:eastAsia="仿宋" w:cs="仿宋"/>
                <w:color w:val="000000"/>
                <w:kern w:val="0"/>
                <w:sz w:val="28"/>
                <w:szCs w:val="28"/>
              </w:rPr>
            </w:pPr>
          </w:p>
        </w:tc>
        <w:tc>
          <w:tcPr>
            <w:tcW w:w="1155"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  话</w:t>
            </w:r>
          </w:p>
        </w:tc>
        <w:tc>
          <w:tcPr>
            <w:tcW w:w="2775" w:type="dxa"/>
            <w:gridSpan w:val="2"/>
            <w:vAlign w:val="center"/>
          </w:tcPr>
          <w:p>
            <w:pPr>
              <w:widowControl/>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2138"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邮  箱</w:t>
            </w:r>
          </w:p>
        </w:tc>
        <w:tc>
          <w:tcPr>
            <w:tcW w:w="3104" w:type="dxa"/>
            <w:gridSpan w:val="3"/>
            <w:vAlign w:val="center"/>
          </w:tcPr>
          <w:p>
            <w:pPr>
              <w:widowControl/>
              <w:jc w:val="center"/>
              <w:rPr>
                <w:rFonts w:hint="eastAsia" w:ascii="仿宋" w:hAnsi="仿宋" w:eastAsia="仿宋" w:cs="仿宋"/>
                <w:color w:val="000000"/>
                <w:kern w:val="0"/>
                <w:sz w:val="28"/>
                <w:szCs w:val="28"/>
              </w:rPr>
            </w:pPr>
          </w:p>
        </w:tc>
        <w:tc>
          <w:tcPr>
            <w:tcW w:w="1155"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tc>
        <w:tc>
          <w:tcPr>
            <w:tcW w:w="2775" w:type="dxa"/>
            <w:gridSpan w:val="2"/>
            <w:vAlign w:val="center"/>
          </w:tcPr>
          <w:p>
            <w:pPr>
              <w:widowControl/>
              <w:jc w:val="center"/>
              <w:rPr>
                <w:rFonts w:hint="eastAsia" w:ascii="仿宋" w:hAnsi="仿宋" w:eastAsia="仿宋" w:cs="仿宋"/>
                <w:color w:val="000000"/>
                <w:kern w:val="0"/>
                <w:sz w:val="28"/>
                <w:szCs w:val="28"/>
              </w:rPr>
            </w:pPr>
          </w:p>
        </w:tc>
      </w:tr>
    </w:tbl>
    <w:p>
      <w:pPr>
        <w:widowControl/>
        <w:jc w:val="left"/>
        <w:rPr>
          <w:rFonts w:hint="eastAsia" w:ascii="仿宋" w:hAnsi="仿宋" w:eastAsia="仿宋" w:cs="仿宋"/>
          <w:sz w:val="28"/>
          <w:szCs w:val="28"/>
        </w:rPr>
      </w:pPr>
      <w:r>
        <w:rPr>
          <w:rFonts w:hint="eastAsia" w:ascii="仿宋" w:hAnsi="仿宋" w:eastAsia="仿宋" w:cs="仿宋"/>
          <w:bCs/>
          <w:kern w:val="0"/>
          <w:sz w:val="28"/>
          <w:szCs w:val="28"/>
          <w:lang w:val="en-US" w:eastAsia="zh-CN"/>
        </w:rPr>
        <w:t>注：此表请于9月28日前传真至山西省交通企业协会，传真：0351-5600554，或发送电子版至153923953@qq.com。</w:t>
      </w: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Bdr>
          <w:top w:val="single" w:color="auto" w:sz="12" w:space="1"/>
          <w:bottom w:val="single" w:color="auto" w:sz="12" w:space="1"/>
          <w:between w:val="single" w:color="auto" w:sz="4" w:space="1"/>
        </w:pBdr>
        <w:ind w:firstLine="280" w:firstLineChars="100"/>
        <w:rPr>
          <w:rFonts w:ascii="仿宋" w:hAnsi="仿宋" w:eastAsia="仿宋"/>
          <w:sz w:val="28"/>
          <w:szCs w:val="28"/>
        </w:rPr>
      </w:pPr>
      <w:r>
        <w:rPr>
          <w:rFonts w:hint="eastAsia" w:ascii="仿宋" w:hAnsi="仿宋" w:eastAsia="仿宋"/>
          <w:sz w:val="28"/>
          <w:szCs w:val="28"/>
        </w:rPr>
        <w:t>抄送：</w:t>
      </w:r>
      <w:r>
        <w:rPr>
          <w:rFonts w:hint="eastAsia" w:ascii="仿宋" w:hAnsi="仿宋" w:eastAsia="仿宋"/>
          <w:sz w:val="28"/>
          <w:szCs w:val="28"/>
          <w:lang w:val="en-US" w:eastAsia="zh-CN"/>
        </w:rPr>
        <w:t>长沙理工大学</w:t>
      </w:r>
      <w:bookmarkStart w:id="0" w:name="_GoBack"/>
      <w:bookmarkEnd w:id="0"/>
      <w:r>
        <w:rPr>
          <w:rFonts w:hint="eastAsia" w:ascii="仿宋" w:hAnsi="仿宋" w:eastAsia="仿宋"/>
          <w:sz w:val="28"/>
          <w:szCs w:val="28"/>
        </w:rPr>
        <w:t>，协会会长，副会长，顾问。</w:t>
      </w:r>
    </w:p>
    <w:p>
      <w:pPr>
        <w:pBdr>
          <w:top w:val="single" w:color="auto" w:sz="12" w:space="1"/>
          <w:bottom w:val="single" w:color="auto" w:sz="12" w:space="1"/>
        </w:pBdr>
        <w:ind w:firstLine="280" w:firstLineChars="100"/>
        <w:rPr>
          <w:rFonts w:ascii="仿宋" w:hAnsi="仿宋" w:eastAsia="仿宋"/>
          <w:sz w:val="24"/>
          <w:szCs w:val="24"/>
        </w:rPr>
      </w:pPr>
      <w:r>
        <w:rPr>
          <w:rFonts w:hint="eastAsia" w:ascii="仿宋" w:hAnsi="仿宋" w:eastAsia="仿宋"/>
          <w:sz w:val="28"/>
          <w:szCs w:val="28"/>
        </w:rPr>
        <w:t>山西省交通企业协会秘书处            2017年9月13日印发</w:t>
      </w:r>
    </w:p>
    <w:sectPr>
      <w:footerReference r:id="rId5" w:type="first"/>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Segoe Script">
    <w:panose1 w:val="030B0504020000000003"/>
    <w:charset w:val="00"/>
    <w:family w:val="auto"/>
    <w:pitch w:val="default"/>
    <w:sig w:usb0="0000028F" w:usb1="00000000" w:usb2="00000000" w:usb3="00000000" w:csb0="0000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20"/>
    </w:sdtPr>
    <w:sdtEndPr>
      <w:rPr>
        <w:sz w:val="24"/>
        <w:szCs w:val="24"/>
      </w:rPr>
    </w:sdtEndPr>
    <w:sdtContent>
      <w:p>
        <w:pPr>
          <w:pStyle w:val="3"/>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18"/>
    </w:sdtPr>
    <w:sdtEndPr>
      <w:rPr>
        <w:sz w:val="24"/>
        <w:szCs w:val="24"/>
      </w:rPr>
    </w:sdtEndPr>
    <w:sdt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02"/>
    </w:sdtPr>
    <w:sdtContent>
      <w:p>
        <w:pPr>
          <w:pStyle w:val="3"/>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075B"/>
    <w:rsid w:val="00191B04"/>
    <w:rsid w:val="002744F5"/>
    <w:rsid w:val="00495EDC"/>
    <w:rsid w:val="004B4307"/>
    <w:rsid w:val="005708C4"/>
    <w:rsid w:val="00616CF6"/>
    <w:rsid w:val="006A423C"/>
    <w:rsid w:val="006D1401"/>
    <w:rsid w:val="008C22E8"/>
    <w:rsid w:val="00943452"/>
    <w:rsid w:val="00992614"/>
    <w:rsid w:val="00A2228B"/>
    <w:rsid w:val="00BD24C7"/>
    <w:rsid w:val="00EA3495"/>
    <w:rsid w:val="00EE075B"/>
    <w:rsid w:val="04424024"/>
    <w:rsid w:val="0BDC6D7F"/>
    <w:rsid w:val="12605CC7"/>
    <w:rsid w:val="13181896"/>
    <w:rsid w:val="21595564"/>
    <w:rsid w:val="2F8B25D7"/>
    <w:rsid w:val="440D137C"/>
    <w:rsid w:val="52A652AA"/>
    <w:rsid w:val="5740036A"/>
    <w:rsid w:val="597E73B6"/>
    <w:rsid w:val="6A4226E4"/>
    <w:rsid w:val="6CAA2F9B"/>
    <w:rsid w:val="6E4E4CDE"/>
    <w:rsid w:val="7989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paragraph" w:customStyle="1" w:styleId="8">
    <w:name w:val="列出段落1"/>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87D89-EBD4-4B57-80ED-5C25C5742EC4}">
  <ds:schemaRefs/>
</ds:datastoreItem>
</file>

<file path=docProps/app.xml><?xml version="1.0" encoding="utf-8"?>
<Properties xmlns="http://schemas.openxmlformats.org/officeDocument/2006/extended-properties" xmlns:vt="http://schemas.openxmlformats.org/officeDocument/2006/docPropsVTypes">
  <Template>Normal</Template>
  <Pages>3</Pages>
  <Words>129</Words>
  <Characters>737</Characters>
  <Lines>6</Lines>
  <Paragraphs>1</Paragraphs>
  <TotalTime>0</TotalTime>
  <ScaleCrop>false</ScaleCrop>
  <LinksUpToDate>false</LinksUpToDate>
  <CharactersWithSpaces>865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2017-07-17T06:21:00Z</dcterms:created>
  <dc:creator>lenovo</dc:creator>
  <cp:lastModifiedBy>lenovo</cp:lastModifiedBy>
  <cp:lastPrinted>2017-09-13T07:51:57Z</cp:lastPrinted>
  <dcterms:modified xsi:type="dcterms:W3CDTF">2017-09-13T07:53:19Z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